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EAD" w:rsidRDefault="00E45772">
      <w:pPr>
        <w:spacing w:line="360" w:lineRule="auto"/>
        <w:jc w:val="center"/>
        <w:textAlignment w:val="center"/>
      </w:pPr>
      <w:r>
        <w:rPr>
          <w:rFonts w:ascii="宋体" w:hAnsi="宋体"/>
          <w:b/>
          <w:noProof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10807700</wp:posOffset>
            </wp:positionV>
            <wp:extent cx="393700" cy="4191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noProof/>
          <w:sz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11887200</wp:posOffset>
            </wp:positionV>
            <wp:extent cx="304800" cy="431800"/>
            <wp:effectExtent l="0" t="0" r="0" b="0"/>
            <wp:wrapNone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6"/>
        </w:rPr>
        <w:t>参考答案</w:t>
      </w:r>
    </w:p>
    <w:p w:rsidR="00267EAD" w:rsidRDefault="00E45772">
      <w:pPr>
        <w:spacing w:line="360" w:lineRule="auto"/>
        <w:jc w:val="center"/>
        <w:textAlignment w:val="center"/>
      </w:pPr>
      <w:r>
        <w:rPr>
          <w:rFonts w:eastAsia="Times New Roman" w:cs="Times New Roman"/>
          <w:b/>
          <w:sz w:val="32"/>
        </w:rPr>
        <w:t>2026</w:t>
      </w:r>
      <w:r>
        <w:rPr>
          <w:rFonts w:ascii="宋体" w:hAnsi="宋体"/>
          <w:b/>
          <w:sz w:val="32"/>
        </w:rPr>
        <w:t>年四川省高考试题</w:t>
      </w:r>
    </w:p>
    <w:p w:rsidR="00267EAD" w:rsidRDefault="00E45772">
      <w:pPr>
        <w:spacing w:line="360" w:lineRule="auto"/>
        <w:jc w:val="center"/>
        <w:textAlignment w:val="center"/>
      </w:pPr>
      <w:r>
        <w:rPr>
          <w:rFonts w:ascii="宋体" w:hAnsi="宋体"/>
          <w:b/>
          <w:sz w:val="32"/>
        </w:rPr>
        <w:t>生物学</w:t>
      </w:r>
    </w:p>
    <w:p w:rsidR="00267EAD" w:rsidRDefault="00E45772">
      <w:pPr>
        <w:spacing w:line="360" w:lineRule="auto"/>
        <w:jc w:val="left"/>
        <w:textAlignment w:val="center"/>
      </w:pPr>
      <w:r>
        <w:rPr>
          <w:rFonts w:ascii="宋体" w:hAnsi="宋体"/>
          <w:b/>
          <w:sz w:val="24"/>
        </w:rPr>
        <w:t>一、单项选择题：本题共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分。在每小题给出的四个选项中，只有一项是最符合题目要求的。</w:t>
      </w:r>
    </w:p>
    <w:tbl>
      <w:tblPr>
        <w:tblW w:w="8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267EAD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1.</w:t>
            </w:r>
            <w:r w:rsidRPr="00BE1BCD"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2.</w:t>
            </w:r>
            <w:r w:rsidRPr="00BE1BCD"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3.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4.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5.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6.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7.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8.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9.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10.</w:t>
            </w:r>
            <w:r w:rsidRPr="00BE1BCD">
              <w:t>B</w:t>
            </w:r>
          </w:p>
        </w:tc>
      </w:tr>
      <w:tr w:rsidR="00267EAD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11.</w:t>
            </w:r>
            <w:r w:rsidRPr="00BE1BCD"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12.</w:t>
            </w:r>
            <w:r w:rsidRPr="00BE1BCD"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13.</w:t>
            </w:r>
            <w:r w:rsidRPr="00BE1BCD"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14.</w:t>
            </w:r>
            <w:r w:rsidRPr="00BE1BCD"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E45772">
            <w:pPr>
              <w:spacing w:line="360" w:lineRule="auto"/>
              <w:jc w:val="left"/>
              <w:textAlignment w:val="center"/>
            </w:pPr>
            <w:r>
              <w:t>15.</w:t>
            </w:r>
            <w:r w:rsidRPr="00BE1BCD"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267EAD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267EAD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267EAD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267EAD">
            <w:pPr>
              <w:spacing w:line="360" w:lineRule="auto"/>
              <w:jc w:val="left"/>
              <w:textAlignment w:val="center"/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:rsidR="00267EAD" w:rsidRDefault="00267EAD">
            <w:pPr>
              <w:spacing w:line="360" w:lineRule="auto"/>
              <w:jc w:val="left"/>
              <w:textAlignment w:val="center"/>
            </w:pPr>
          </w:p>
        </w:tc>
      </w:tr>
    </w:tbl>
    <w:p w:rsidR="00267EAD" w:rsidRDefault="00E45772">
      <w:pPr>
        <w:spacing w:line="360" w:lineRule="auto"/>
        <w:jc w:val="left"/>
        <w:textAlignment w:val="center"/>
      </w:pPr>
      <w:r>
        <w:rPr>
          <w:rFonts w:ascii="宋体" w:hAnsi="宋体"/>
          <w:b/>
          <w:sz w:val="24"/>
        </w:rPr>
        <w:t>二、非选择题：本题共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55</w:t>
      </w:r>
      <w:r>
        <w:rPr>
          <w:rFonts w:ascii="宋体" w:hAnsi="宋体"/>
          <w:b/>
          <w:sz w:val="24"/>
        </w:rPr>
        <w:t>分。</w:t>
      </w:r>
    </w:p>
    <w:p w:rsidR="00267EAD" w:rsidRDefault="00E45772">
      <w:pPr>
        <w:spacing w:line="360" w:lineRule="auto"/>
        <w:jc w:val="left"/>
        <w:textAlignment w:val="center"/>
      </w:pPr>
      <w:r>
        <w:t>16.</w:t>
      </w:r>
      <w:r w:rsidRPr="00BE1BCD">
        <w:t>（</w:t>
      </w:r>
      <w:r w:rsidRPr="00BE1BCD">
        <w:t>1</w:t>
      </w:r>
      <w:r w:rsidRPr="00BE1BCD">
        <w:t>）</w:t>
      </w:r>
      <w:r>
        <w:t>CO</w:t>
      </w:r>
      <w:r w:rsidRPr="00BE1BCD">
        <w:rPr>
          <w:vertAlign w:val="subscript"/>
        </w:rPr>
        <w:t>2</w:t>
      </w:r>
      <w:r>
        <w:t>和</w:t>
      </w:r>
      <w:r>
        <w:t>H</w:t>
      </w:r>
      <w:r w:rsidRPr="00BE1BCD">
        <w:rPr>
          <w:vertAlign w:val="subscript"/>
        </w:rPr>
        <w:t>2</w:t>
      </w:r>
      <w:r>
        <w:t>O</w:t>
      </w:r>
      <w:r w:rsidRPr="00BE1BCD">
        <w:t xml:space="preserve">    </w:t>
      </w:r>
    </w:p>
    <w:p w:rsidR="00441278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该时间段内温度较高，植物因蒸腾作用过强导致关闭气孔，二氧化碳吸收量减少，光合速率下降；</w:t>
      </w:r>
      <w:proofErr w:type="gramStart"/>
      <w:r>
        <w:t>农光互补</w:t>
      </w:r>
      <w:proofErr w:type="gramEnd"/>
      <w:r>
        <w:t>系统下</w:t>
      </w:r>
      <w:proofErr w:type="gramStart"/>
      <w:r>
        <w:t>光伏板遮光</w:t>
      </w:r>
      <w:proofErr w:type="gramEnd"/>
      <w:r>
        <w:t>导致光照强度降低，蒸腾作用减弱，气孔关闭程度小，二氧化碳吸收量较多，净光合速率更高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更大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4</w:t>
      </w:r>
      <w:r w:rsidRPr="00BE1BCD">
        <w:t>）</w:t>
      </w:r>
      <w:r>
        <w:t>A</w:t>
      </w:r>
      <w:r w:rsidRPr="00BE1BCD">
        <w:t xml:space="preserve">    </w:t>
      </w:r>
      <w:r w:rsidRPr="00BE1BCD">
        <w:t xml:space="preserve"> </w:t>
      </w:r>
      <w:r w:rsidRPr="00BE1BCD">
        <w:rPr>
          <w:noProof/>
        </w:rPr>
        <w:drawing>
          <wp:inline distT="0" distB="0" distL="0" distR="0">
            <wp:extent cx="2686050" cy="19526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278" w:rsidRDefault="00E45772">
      <w:pPr>
        <w:spacing w:line="360" w:lineRule="auto"/>
        <w:jc w:val="left"/>
        <w:textAlignment w:val="center"/>
      </w:pPr>
      <w:r>
        <w:t>17.</w:t>
      </w:r>
      <w:r w:rsidRPr="00BE1BCD">
        <w:t>（</w:t>
      </w:r>
      <w:r w:rsidRPr="00BE1BCD">
        <w:t>1</w:t>
      </w:r>
      <w:r w:rsidRPr="00BE1BCD">
        <w:t>）</w:t>
      </w:r>
      <w:r>
        <w:t>整体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对照组和施加</w:t>
      </w:r>
      <w:r>
        <w:t>MF</w:t>
      </w:r>
      <w:r>
        <w:t>组中，灌丛土壤湿度相对值和土壤微生物量均高于草地，从而为种</w:t>
      </w:r>
      <w:r>
        <w:t xml:space="preserve"> </w:t>
      </w:r>
      <w:r>
        <w:t>子萌发和幼苗存活提供了更多的水分和无机盐</w:t>
      </w:r>
      <w:r w:rsidRPr="00BE1BCD">
        <w:t xml:space="preserve">    </w:t>
      </w:r>
    </w:p>
    <w:p w:rsidR="00441278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防止外来物种入侵影响本地的生物多样性</w:t>
      </w:r>
      <w:r w:rsidRPr="00BE1BCD">
        <w:t xml:space="preserve">    </w:t>
      </w:r>
      <w:r w:rsidRPr="00BE1BCD">
        <w:t xml:space="preserve"> </w:t>
      </w:r>
      <w:r>
        <w:t>草地和灌丛施加</w:t>
      </w:r>
      <w:r>
        <w:t>MF</w:t>
      </w:r>
      <w:r>
        <w:t>后土壤更为肥沃，草本植物和灌木等生长周期要短于红杉，因此在和红杉幼苗竞争光照、水分和</w:t>
      </w:r>
      <w:r>
        <w:t xml:space="preserve"> </w:t>
      </w:r>
      <w:r>
        <w:t>无机盐时更占优势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4</w:t>
      </w:r>
      <w:r w:rsidRPr="00BE1BCD">
        <w:t>）</w:t>
      </w:r>
      <w:r>
        <w:t>②③⑤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5</w:t>
      </w:r>
      <w:r w:rsidRPr="00BE1BCD">
        <w:t>）</w:t>
      </w:r>
      <w:r>
        <w:t>生物多样性、土壤碳储量等</w:t>
      </w:r>
    </w:p>
    <w:p w:rsidR="00267EAD" w:rsidRDefault="00E45772">
      <w:pPr>
        <w:spacing w:line="360" w:lineRule="auto"/>
        <w:jc w:val="left"/>
        <w:textAlignment w:val="center"/>
      </w:pPr>
      <w:r>
        <w:t>18.</w:t>
      </w:r>
      <w:r w:rsidRPr="00BE1BCD">
        <w:t>（</w:t>
      </w:r>
      <w:r w:rsidRPr="00BE1BCD">
        <w:t>1</w:t>
      </w:r>
      <w:r w:rsidRPr="00BE1BCD">
        <w:t>）</w:t>
      </w:r>
      <w:r>
        <w:t>刺激正常小鼠的迷走神经，心肌</w:t>
      </w:r>
      <w:r>
        <w:t>M</w:t>
      </w:r>
      <w:r>
        <w:t>细胞的数量无影响，刺激心衰模型小鼠的迷走神经，会导致心肌</w:t>
      </w:r>
      <w:r>
        <w:t>M</w:t>
      </w:r>
      <w:r>
        <w:t>细胞的数量减少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lastRenderedPageBreak/>
        <w:t>（</w:t>
      </w:r>
      <w:r w:rsidRPr="00BE1BCD">
        <w:t>2</w:t>
      </w:r>
      <w:r w:rsidRPr="00BE1BCD">
        <w:t>）</w:t>
      </w:r>
      <w:r>
        <w:t>促进</w:t>
      </w:r>
      <w:r w:rsidRPr="00BE1BCD">
        <w:t xml:space="preserve">    </w:t>
      </w:r>
      <w:r w:rsidRPr="00BE1BCD">
        <w:t xml:space="preserve"> </w:t>
      </w:r>
      <w:r>
        <w:t>抑制</w:t>
      </w:r>
      <w:r>
        <w:t>TNF-α</w:t>
      </w:r>
      <w:r>
        <w:t>对</w:t>
      </w:r>
      <w:r>
        <w:t>X</w:t>
      </w:r>
      <w:r>
        <w:t>基因表达的促进作用，减少</w:t>
      </w:r>
      <w:r>
        <w:t>M</w:t>
      </w:r>
      <w:r>
        <w:t>细胞在心脏的聚集，减轻炎症反应</w:t>
      </w:r>
      <w:r w:rsidRPr="00BE1BCD">
        <w:t xml:space="preserve">    ③. </w:t>
      </w:r>
      <w:r>
        <w:t>敲除</w:t>
      </w:r>
      <w:r>
        <w:t>N</w:t>
      </w:r>
      <w:r>
        <w:t>蛋白基因或抑制</w:t>
      </w:r>
      <w:r>
        <w:t>N</w:t>
      </w:r>
      <w:r>
        <w:t>蛋白基因表达，并在</w:t>
      </w:r>
      <w:r>
        <w:t>M</w:t>
      </w:r>
      <w:r>
        <w:t>细胞的培养液中添加</w:t>
      </w:r>
      <w:r>
        <w:t>TNF-α</w:t>
      </w:r>
      <w:r>
        <w:t>和</w:t>
      </w:r>
      <w:r>
        <w:t>ACh</w:t>
      </w:r>
      <w:r w:rsidRPr="00BE1BCD">
        <w:t xml:space="preserve"> </w:t>
      </w:r>
      <w:r w:rsidRPr="00BE1BCD">
        <w:t xml:space="preserve">   ④. </w:t>
      </w:r>
      <w:r>
        <w:t>X</w:t>
      </w:r>
      <w:r>
        <w:t>基因相对表达量和组</w:t>
      </w:r>
      <w:r>
        <w:t>2</w:t>
      </w:r>
      <w:r>
        <w:t>相当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该药物能与</w:t>
      </w:r>
      <w:r>
        <w:t>AChR</w:t>
      </w:r>
      <w:r>
        <w:t>长时间结合，从而增强</w:t>
      </w:r>
      <w:r>
        <w:t>M</w:t>
      </w:r>
      <w:r>
        <w:t>细胞中</w:t>
      </w:r>
      <w:r>
        <w:t>N</w:t>
      </w:r>
      <w:r>
        <w:t>蛋白的表达，进而减弱</w:t>
      </w:r>
      <w:r>
        <w:t>TNF-α</w:t>
      </w:r>
      <w:r>
        <w:t>对</w:t>
      </w:r>
      <w:r>
        <w:t>X</w:t>
      </w:r>
      <w:r>
        <w:t>基因表达的促进作用，</w:t>
      </w:r>
      <w:r>
        <w:t>M</w:t>
      </w:r>
      <w:r>
        <w:t>细胞在心脏处聚集减少，炎症反应减轻</w:t>
      </w:r>
    </w:p>
    <w:p w:rsidR="00267EAD" w:rsidRDefault="00E45772">
      <w:pPr>
        <w:spacing w:line="360" w:lineRule="auto"/>
        <w:jc w:val="left"/>
        <w:textAlignment w:val="center"/>
      </w:pPr>
      <w:r>
        <w:t>19.</w:t>
      </w:r>
      <w:r w:rsidRPr="00BE1BCD">
        <w:t>（</w:t>
      </w:r>
      <w:r w:rsidRPr="00BE1BCD">
        <w:t>1</w:t>
      </w:r>
      <w:r w:rsidRPr="00BE1BCD">
        <w:t>）</w:t>
      </w:r>
      <w:r>
        <w:t>磷酸二酯</w:t>
      </w:r>
      <w:r w:rsidRPr="00BE1BCD">
        <w:t xml:space="preserve">    </w:t>
      </w:r>
      <w:r w:rsidRPr="00BE1BCD">
        <w:t xml:space="preserve"> </w:t>
      </w:r>
      <w:r>
        <w:t>His</w:t>
      </w:r>
      <w:r>
        <w:t>标签可被抗体识别，便于重组质粒的筛选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FP</w:t>
      </w:r>
      <w:r>
        <w:t>蛋白、</w:t>
      </w:r>
      <w:r>
        <w:t>PD-1</w:t>
      </w:r>
      <w:r>
        <w:t>抗体单独使用</w:t>
      </w:r>
      <w:r>
        <w:t xml:space="preserve"> </w:t>
      </w:r>
      <w:r>
        <w:t>时均具有抗肿瘤的效果</w:t>
      </w:r>
      <w:r>
        <w:t>,</w:t>
      </w:r>
      <w:r>
        <w:t>两者联合使用时疗效更显著</w:t>
      </w:r>
      <w:r w:rsidRPr="00BE1BCD">
        <w:t xml:space="preserve">    </w:t>
      </w:r>
    </w:p>
    <w:p w:rsidR="00441278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>ATP</w:t>
      </w:r>
      <w:r w:rsidRPr="00BE1BCD">
        <w:t xml:space="preserve">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4</w:t>
      </w:r>
      <w:r w:rsidRPr="00BE1BCD">
        <w:t>）</w:t>
      </w:r>
      <w:r>
        <w:rPr>
          <w:rFonts w:eastAsia="Times New Roman" w:cs="Times New Roman"/>
        </w:rPr>
        <w:t>E.coli-</w:t>
      </w:r>
      <w:proofErr w:type="spellStart"/>
      <w:r>
        <w:rPr>
          <w:rFonts w:eastAsia="Times New Roman" w:cs="Times New Roman"/>
        </w:rPr>
        <w:t>fp</w:t>
      </w:r>
      <w:proofErr w:type="spellEnd"/>
      <w:r w:rsidRPr="00BE1BCD">
        <w:t xml:space="preserve">    </w:t>
      </w:r>
      <w:r w:rsidRPr="00BE1BCD">
        <w:t xml:space="preserve"> </w:t>
      </w:r>
      <w:r>
        <w:t>大肠杆菌为兼性厌氧生物，能适应肿瘤内部的低氧环境而存活；在缺氧条件下，大肠杆菌能通过无氧呼吸获取能量，还可利用肿瘤区</w:t>
      </w:r>
      <w:r>
        <w:t xml:space="preserve"> </w:t>
      </w:r>
      <w:proofErr w:type="gramStart"/>
      <w:r>
        <w:t>域丰富</w:t>
      </w:r>
      <w:proofErr w:type="gramEnd"/>
      <w:r>
        <w:t>的代谢产物进行增殖</w:t>
      </w:r>
      <w:r w:rsidRPr="00BE1BCD">
        <w:t xml:space="preserve">    ③. </w:t>
      </w:r>
      <w:r>
        <w:t>基因工程改造的</w:t>
      </w:r>
      <w:r>
        <w:t>E.coli-</w:t>
      </w:r>
      <w:r>
        <w:t>力可特异性富集在肿瘤低氧区域，并大量表达</w:t>
      </w:r>
      <w:r>
        <w:t>FP</w:t>
      </w:r>
      <w:r>
        <w:t>蛋</w:t>
      </w:r>
      <w:r>
        <w:t xml:space="preserve"> </w:t>
      </w:r>
      <w:r>
        <w:t>白；</w:t>
      </w:r>
      <w:r>
        <w:t>FP</w:t>
      </w:r>
      <w:r>
        <w:t>蛋白能结合并消耗肿瘤细胞的</w:t>
      </w:r>
      <w:r>
        <w:t>ATP</w:t>
      </w:r>
      <w:r>
        <w:t>，切断肿瘤细胞的能量供给，最终使肿瘤细胞因能量匮乏而凋亡，实现靶</w:t>
      </w:r>
      <w:r>
        <w:t xml:space="preserve"> </w:t>
      </w:r>
      <w:r>
        <w:t>向抗肿瘤效果</w:t>
      </w:r>
    </w:p>
    <w:p w:rsidR="00267EAD" w:rsidRDefault="00E45772">
      <w:pPr>
        <w:spacing w:line="360" w:lineRule="auto"/>
        <w:jc w:val="left"/>
        <w:textAlignment w:val="center"/>
      </w:pPr>
      <w:r>
        <w:t>20.</w:t>
      </w:r>
      <w:r w:rsidRPr="00BE1BCD">
        <w:t>（</w:t>
      </w:r>
      <w:r w:rsidRPr="00BE1BCD">
        <w:t>1</w:t>
      </w:r>
      <w:r w:rsidRPr="00BE1BCD">
        <w:t>）</w:t>
      </w:r>
      <w:r>
        <w:t>促进细胞伸长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2</w:t>
      </w:r>
      <w:r w:rsidRPr="00BE1BCD">
        <w:t>）</w:t>
      </w:r>
      <w:r>
        <w:t>①④</w:t>
      </w:r>
      <w:r w:rsidRPr="00BE1BCD">
        <w:t xml:space="preserve">    </w:t>
      </w:r>
      <w:r w:rsidRPr="00BE1BCD">
        <w:t xml:space="preserve"> </w:t>
      </w:r>
      <w:r>
        <w:t>PamC Ⅰ</w:t>
      </w:r>
      <w:r w:rsidRPr="00BE1BCD">
        <w:t xml:space="preserve">    </w:t>
      </w:r>
      <w:r w:rsidR="00441278">
        <w:t xml:space="preserve"> </w:t>
      </w:r>
      <w:r w:rsidRPr="00BE1BCD">
        <w:t xml:space="preserve"> </w:t>
      </w:r>
      <w:r>
        <w:t>3</w:t>
      </w:r>
      <w:r w:rsidRPr="00BE1BCD">
        <w:t xml:space="preserve">    </w:t>
      </w:r>
    </w:p>
    <w:p w:rsidR="00267EAD" w:rsidRDefault="00E45772">
      <w:pPr>
        <w:spacing w:line="360" w:lineRule="auto"/>
        <w:jc w:val="left"/>
        <w:textAlignment w:val="center"/>
      </w:pPr>
      <w:r w:rsidRPr="00BE1BCD">
        <w:t>（</w:t>
      </w:r>
      <w:r w:rsidRPr="00BE1BCD">
        <w:t>3</w:t>
      </w:r>
      <w:r w:rsidRPr="00BE1BCD">
        <w:t>）</w:t>
      </w:r>
      <w:r>
        <w:t xml:space="preserve"> F₂</w:t>
      </w:r>
      <w:r>
        <w:t>高秆与矮秆中正常产量</w:t>
      </w:r>
      <w:r>
        <w:t>∶</w:t>
      </w:r>
      <w:r>
        <w:t>低</w:t>
      </w:r>
      <w:r>
        <w:t>产</w:t>
      </w:r>
      <w:r>
        <w:t>∶</w:t>
      </w:r>
      <w:r>
        <w:t>高产的比例均为</w:t>
      </w:r>
      <w:r>
        <w:t>6∶2∶1</w:t>
      </w:r>
      <w:r w:rsidRPr="00BE1BCD">
        <w:t xml:space="preserve">    </w:t>
      </w:r>
      <w:r w:rsidRPr="00BE1BCD">
        <w:t xml:space="preserve"> </w:t>
      </w:r>
      <w:r>
        <w:t>G</w:t>
      </w:r>
      <w:r>
        <w:t>基因影响</w:t>
      </w:r>
      <w:r>
        <w:t>d</w:t>
      </w:r>
      <w:r>
        <w:t>基因的表达使</w:t>
      </w:r>
      <w:r>
        <w:t>dG</w:t>
      </w:r>
      <w:r>
        <w:t>配子不育或</w:t>
      </w:r>
      <w:r>
        <w:t>g</w:t>
      </w:r>
      <w:r>
        <w:t>基因影响</w:t>
      </w:r>
      <w:r>
        <w:t>d</w:t>
      </w:r>
      <w:r>
        <w:t>基因的表达使</w:t>
      </w:r>
      <w:r>
        <w:t>dg</w:t>
      </w:r>
      <w:r>
        <w:t>配子不育</w:t>
      </w:r>
      <w:r w:rsidRPr="00BE1BCD">
        <w:t xml:space="preserve">    </w:t>
      </w:r>
      <w:r w:rsidR="00441278">
        <w:t xml:space="preserve"> </w:t>
      </w:r>
      <w:bookmarkStart w:id="0" w:name="_GoBack"/>
      <w:bookmarkEnd w:id="0"/>
      <w:r w:rsidRPr="00BE1BCD">
        <w:t xml:space="preserve"> </w:t>
      </w:r>
      <w:r>
        <w:t>aaddGG</w:t>
      </w:r>
    </w:p>
    <w:sectPr w:rsidR="00267EAD" w:rsidSect="00C321EB">
      <w:footerReference w:type="default" r:id="rId11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72" w:rsidRDefault="00E45772">
      <w:r>
        <w:separator/>
      </w:r>
    </w:p>
  </w:endnote>
  <w:endnote w:type="continuationSeparator" w:id="0">
    <w:p w:rsidR="00E45772" w:rsidRDefault="00E4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EAD" w:rsidRDefault="00E45772">
    <w:pPr>
      <w:pStyle w:val="Footer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67EAD" w:rsidRDefault="00E45772">
                          <w:pPr>
                            <w:pStyle w:val="Footer0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4127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="0044127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267EAD" w:rsidRDefault="00E45772">
                    <w:pPr>
                      <w:pStyle w:val="Footer0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4127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="0044127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72" w:rsidRDefault="00E45772">
      <w:r>
        <w:separator/>
      </w:r>
    </w:p>
  </w:footnote>
  <w:footnote w:type="continuationSeparator" w:id="0">
    <w:p w:rsidR="00E45772" w:rsidRDefault="00E45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73A"/>
    <w:multiLevelType w:val="hybridMultilevel"/>
    <w:tmpl w:val="8312AF28"/>
    <w:lvl w:ilvl="0" w:tplc="7BCA944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C87A8DD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A0CE00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04684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EA0CAB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BC0D65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056F28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3281FE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FB2C74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67EAD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41278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45772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customStyle="1" w:styleId="Footer0">
    <w:name w:val="Footer_0"/>
    <w:basedOn w:val="a"/>
    <w:pPr>
      <w:tabs>
        <w:tab w:val="center" w:pos="4153"/>
        <w:tab w:val="right" w:pos="8306"/>
      </w:tabs>
      <w:snapToGrid w:val="0"/>
      <w:spacing w:line="360" w:lineRule="auto"/>
      <w:jc w:val="left"/>
    </w:pPr>
    <w:rPr>
      <w:rFonts w:cstheme="minorBid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3BA1-88AC-456F-B6EB-3148302A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</cp:revision>
  <dcterms:created xsi:type="dcterms:W3CDTF">2026-06-24T03:05:00Z</dcterms:created>
  <dcterms:modified xsi:type="dcterms:W3CDTF">2026-06-24T03:11:00Z</dcterms:modified>
</cp:coreProperties>
</file>